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300" w:afterAutospacing="0" w:line="420" w:lineRule="atLeast"/>
        <w:ind w:right="150"/>
        <w:jc w:val="left"/>
        <w:textAlignment w:val="baseline"/>
        <w:rPr>
          <w:rFonts w:hint="eastAsia" w:ascii="方正小标宋_GBK" w:hAnsi="宋体" w:eastAsia="方正小标宋_GBK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300" w:afterAutospacing="0" w:line="420" w:lineRule="atLeast"/>
        <w:ind w:right="15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原辅料采购项目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kern w:val="0"/>
          <w:sz w:val="30"/>
          <w:szCs w:val="30"/>
          <w:lang w:eastAsia="zh-CN"/>
        </w:rPr>
        <w:t>明细表</w:t>
      </w:r>
    </w:p>
    <w:tbl>
      <w:tblPr>
        <w:tblStyle w:val="3"/>
        <w:tblpPr w:leftFromText="180" w:rightFromText="180" w:vertAnchor="text" w:horzAnchor="page" w:tblpXSpec="center" w:tblpY="796"/>
        <w:tblOverlap w:val="never"/>
        <w:tblW w:w="15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85"/>
        <w:gridCol w:w="11074"/>
        <w:gridCol w:w="1365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参数指标描述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年预计采购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盐酸苯海拉明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薄荷脑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  <w:t>在国家药品监督管理局公示取得有效批件的原料药或CDE公示为原料药或药用辅料，登记状态标识为“A”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  <w:t>独立包装规格≤25kg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炉甘石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  <w:t>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立包装规格≤500g/袋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氧化锌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独立包装规格≤500g/袋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升华硫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g/袋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产品包装规格与CDE公示包装规格不一致时，供应商需要提交厂家出具加盖鲜章的以下证明文件：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（1）非CDE包装规格产品与CDE包装规格产品为同一产品登记号，且应为A类产品。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（2）非CDE包装规格产品与CDE包装规格产品采用同一内包装材料，且内包装材料符合药品监督管理部门相关规定。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苯酚（原料）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独立包装规格≤1kg/瓶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苯酚（辅料）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CDE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公示为药用辅料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独立包装规格≤1kg/瓶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醋酸曲安奈德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独立包装规格≤1kg/瓶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二甲基亚砜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聚山梨酯80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≤500g/瓶或500ml/瓶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月桂氮䓬酮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独立包装规格≤500g/袋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独立包装规格2kg/桶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硬脂酸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独立包装规格≤25kg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单双硬脂酸甘油酯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独立包装规格≤25kg，以小包装规格优先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轻质液状石蜡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羟苯乙酯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独立包装规格≤500g/瓶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间苯二酚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kg/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硼酸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公示为原料药或药用辅料，登记状态标识为“A”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CDE 公示为原料药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或药用辅料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独立包装规格≤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300" w:afterAutospacing="0" w:line="420" w:lineRule="atLeast"/>
        <w:ind w:right="15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7FCF86-7185-407E-97DE-4FCF436CD2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5C4961E-B67D-4F82-A869-AAE4EC1B74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E703C"/>
    <w:multiLevelType w:val="singleLevel"/>
    <w:tmpl w:val="E9AE7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mEwNjYzZTcwZGQxMDQ5MjFjMDdkMTljY2FlYTMifQ=="/>
  </w:docVars>
  <w:rsids>
    <w:rsidRoot w:val="00000000"/>
    <w:rsid w:val="14304EA8"/>
    <w:rsid w:val="75E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1284</Characters>
  <Lines>0</Lines>
  <Paragraphs>0</Paragraphs>
  <TotalTime>0</TotalTime>
  <ScaleCrop>false</ScaleCrop>
  <LinksUpToDate>false</LinksUpToDate>
  <CharactersWithSpaces>1307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2023-04-12T01:16:00Z</dcterms:created>
  <dc:creator>Administrator</dc:creator>
  <cp:lastModifiedBy>小莉</cp:lastModifiedBy>
  <dcterms:modified xsi:type="dcterms:W3CDTF">2023-04-12T01:19:01Z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698212DA9D8D4730BC2D89E97D26EE7D</vt:lpwstr>
  </property>
</Properties>
</file>