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asciiTheme="minorEastAsia" w:hAnsiTheme="minorEastAsia"/>
          <w:b/>
          <w:color w:val="000000"/>
          <w:kern w:val="0"/>
          <w:sz w:val="36"/>
          <w:szCs w:val="36"/>
          <w:u w:val="single"/>
        </w:rPr>
      </w:pPr>
      <w:bookmarkStart w:id="0" w:name="_Hlk70239296"/>
    </w:p>
    <w:p>
      <w:pPr>
        <w:jc w:val="center"/>
        <w:rPr>
          <w:rFonts w:cs="华文中宋" w:asciiTheme="minorEastAsia" w:hAnsiTheme="minorEastAsia"/>
          <w:b/>
          <w:color w:val="000000"/>
          <w:kern w:val="0"/>
          <w:sz w:val="36"/>
          <w:szCs w:val="36"/>
        </w:rPr>
      </w:pPr>
      <w:r>
        <w:rPr>
          <w:rFonts w:hint="eastAsia" w:cs="Arial" w:asciiTheme="minorEastAsia" w:hAnsiTheme="minorEastAsia"/>
          <w:b/>
          <w:color w:val="000000"/>
          <w:kern w:val="0"/>
          <w:sz w:val="36"/>
          <w:szCs w:val="36"/>
          <w:u w:val="single"/>
          <w:lang w:val="en-US" w:eastAsia="zh-CN"/>
        </w:rPr>
        <w:t>药包材</w:t>
      </w:r>
      <w:bookmarkEnd w:id="0"/>
      <w:r>
        <w:rPr>
          <w:rFonts w:hint="eastAsia" w:cs="华文中宋" w:asciiTheme="minorEastAsia" w:hAnsiTheme="minorEastAsia"/>
          <w:b/>
          <w:color w:val="000000"/>
          <w:kern w:val="0"/>
          <w:sz w:val="36"/>
          <w:szCs w:val="36"/>
          <w:u w:val="single"/>
          <w:lang w:val="zh-CN"/>
        </w:rPr>
        <w:t>采购项目</w:t>
      </w:r>
      <w:r>
        <w:rPr>
          <w:rFonts w:hint="eastAsia" w:cs="华文中宋" w:asciiTheme="minorEastAsia" w:hAnsiTheme="minorEastAsia"/>
          <w:b/>
          <w:color w:val="000000"/>
          <w:kern w:val="0"/>
          <w:sz w:val="36"/>
          <w:szCs w:val="36"/>
        </w:rPr>
        <w:t>需求书</w:t>
      </w:r>
    </w:p>
    <w:p>
      <w:pPr>
        <w:jc w:val="left"/>
        <w:rPr>
          <w:rFonts w:hint="eastAsia" w:cs="华文中宋" w:asciiTheme="minorEastAsia" w:hAnsiTheme="minorEastAsia"/>
          <w:color w:val="000000"/>
          <w:kern w:val="0"/>
          <w:sz w:val="28"/>
          <w:szCs w:val="28"/>
        </w:rPr>
      </w:pPr>
    </w:p>
    <w:p>
      <w:pPr>
        <w:jc w:val="left"/>
        <w:rPr>
          <w:rFonts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一、供应商资格要求：</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1.</w:t>
      </w:r>
      <w:r>
        <w:rPr>
          <w:rFonts w:hint="eastAsia" w:ascii="华文中宋" w:hAnsi="华文中宋" w:eastAsia="华文中宋" w:cs="Arial"/>
          <w:szCs w:val="21"/>
          <w:lang w:val="hr-HR"/>
        </w:rPr>
        <w:t>供应商须符合《中华人民共和国政府采购法》第二十二条规定。</w:t>
      </w:r>
    </w:p>
    <w:p>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2.</w:t>
      </w:r>
      <w:r>
        <w:rPr>
          <w:rFonts w:hint="eastAsia" w:ascii="华文中宋" w:hAnsi="华文中宋" w:eastAsia="华文中宋" w:cs="Arial"/>
          <w:szCs w:val="21"/>
          <w:lang w:val="hr-HR"/>
        </w:rPr>
        <w:t>供应商必须是中华人民共和国境内登记注册的能够独立承担民事责任的法人、其他组织或自然人。</w:t>
      </w:r>
    </w:p>
    <w:p>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3.</w:t>
      </w:r>
      <w:r>
        <w:rPr>
          <w:rFonts w:hint="eastAsia" w:ascii="华文中宋" w:hAnsi="华文中宋" w:eastAsia="华文中宋" w:cs="Arial"/>
          <w:szCs w:val="21"/>
          <w:lang w:val="hr-HR"/>
        </w:rPr>
        <w:t>供应商必须依法取得《营业执照》，且经营范围须涵盖“</w:t>
      </w:r>
      <w:r>
        <w:rPr>
          <w:rFonts w:hint="eastAsia" w:ascii="华文中宋" w:hAnsi="华文中宋" w:eastAsia="华文中宋" w:cs="Arial"/>
          <w:szCs w:val="21"/>
          <w:lang w:val="en-US" w:eastAsia="zh-CN"/>
        </w:rPr>
        <w:t>塑料药瓶、塑料制品、包装材料</w:t>
      </w:r>
      <w:r>
        <w:rPr>
          <w:rFonts w:hint="eastAsia" w:ascii="华文中宋" w:hAnsi="华文中宋" w:eastAsia="华文中宋" w:cs="Arial"/>
          <w:szCs w:val="21"/>
          <w:lang w:val="hr-HR"/>
        </w:rPr>
        <w:t>等”或其他与</w:t>
      </w:r>
      <w:r>
        <w:rPr>
          <w:rFonts w:hint="eastAsia" w:ascii="华文中宋" w:hAnsi="华文中宋" w:eastAsia="华文中宋" w:cs="Arial"/>
          <w:szCs w:val="21"/>
          <w:lang w:val="en-US" w:eastAsia="zh-CN"/>
        </w:rPr>
        <w:t>药包材</w:t>
      </w:r>
      <w:r>
        <w:rPr>
          <w:rFonts w:hint="eastAsia" w:ascii="华文中宋" w:hAnsi="华文中宋" w:eastAsia="华文中宋" w:cs="Arial"/>
          <w:szCs w:val="21"/>
          <w:lang w:val="hr-HR"/>
        </w:rPr>
        <w:t>经营相关内容。</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4.</w:t>
      </w:r>
      <w:r>
        <w:rPr>
          <w:rFonts w:hint="eastAsia" w:ascii="华文中宋" w:hAnsi="华文中宋" w:eastAsia="华文中宋" w:cs="Arial"/>
          <w:szCs w:val="21"/>
          <w:lang w:val="zh-CN"/>
        </w:rPr>
        <w:t>供应商参加政府采购活动前三年内，在经营活动中没有重大违法记录（须提供书面声明）。</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5.</w:t>
      </w:r>
      <w:r>
        <w:rPr>
          <w:rFonts w:hint="eastAsia" w:ascii="华文中宋" w:hAnsi="华文中宋" w:eastAsia="华文中宋" w:cs="Arial"/>
          <w:szCs w:val="21"/>
          <w:lang w:val="zh-CN"/>
        </w:rPr>
        <w:t>供应商未被列入</w:t>
      </w:r>
      <w:r>
        <w:rPr>
          <w:rFonts w:hint="eastAsia" w:ascii="华文中宋" w:hAnsi="华文中宋" w:eastAsia="华文中宋" w:cs="Arial"/>
          <w:szCs w:val="21"/>
        </w:rPr>
        <w:t>“</w:t>
      </w:r>
      <w:r>
        <w:rPr>
          <w:rFonts w:hint="eastAsia" w:ascii="华文中宋" w:hAnsi="华文中宋" w:eastAsia="华文中宋" w:cs="Arial"/>
          <w:szCs w:val="21"/>
          <w:lang w:val="zh-CN"/>
        </w:rPr>
        <w:t>信用中国</w:t>
      </w:r>
      <w:r>
        <w:rPr>
          <w:rFonts w:hint="eastAsia" w:ascii="华文中宋" w:hAnsi="华文中宋" w:eastAsia="华文中宋" w:cs="Arial"/>
          <w:szCs w:val="21"/>
        </w:rPr>
        <w:t>”</w:t>
      </w:r>
      <w:r>
        <w:rPr>
          <w:rFonts w:hint="eastAsia" w:ascii="华文中宋" w:hAnsi="华文中宋" w:eastAsia="华文中宋" w:cs="Arial"/>
          <w:szCs w:val="21"/>
          <w:lang w:val="zh-CN"/>
        </w:rPr>
        <w:t>网站</w:t>
      </w:r>
      <w:r>
        <w:rPr>
          <w:rFonts w:hint="eastAsia" w:ascii="华文中宋" w:hAnsi="华文中宋" w:eastAsia="华文中宋" w:cs="Arial"/>
          <w:szCs w:val="21"/>
        </w:rPr>
        <w:t>(www.creditchina.gov.cn)“</w:t>
      </w:r>
      <w:r>
        <w:rPr>
          <w:rFonts w:hint="eastAsia" w:ascii="华文中宋" w:hAnsi="华文中宋" w:eastAsia="华文中宋" w:cs="Arial"/>
          <w:szCs w:val="21"/>
          <w:lang w:val="zh-CN"/>
        </w:rPr>
        <w:t>记录失信被执行人或重大税收违法案件当事人名单或政府采购严重违法失信行为</w:t>
      </w:r>
      <w:r>
        <w:rPr>
          <w:rFonts w:hint="eastAsia" w:ascii="华文中宋" w:hAnsi="华文中宋" w:eastAsia="华文中宋" w:cs="Arial"/>
          <w:szCs w:val="21"/>
        </w:rPr>
        <w:t>”</w:t>
      </w:r>
      <w:r>
        <w:rPr>
          <w:rFonts w:hint="eastAsia" w:ascii="华文中宋" w:hAnsi="华文中宋" w:eastAsia="华文中宋" w:cs="Arial"/>
          <w:szCs w:val="21"/>
          <w:lang w:val="zh-CN"/>
        </w:rPr>
        <w:t>记录名单</w:t>
      </w:r>
      <w:r>
        <w:rPr>
          <w:rFonts w:hint="eastAsia" w:ascii="华文中宋" w:hAnsi="华文中宋" w:eastAsia="华文中宋" w:cs="Arial"/>
          <w:szCs w:val="21"/>
        </w:rPr>
        <w:t>；</w:t>
      </w:r>
      <w:r>
        <w:rPr>
          <w:rFonts w:hint="eastAsia" w:ascii="华文中宋" w:hAnsi="华文中宋" w:eastAsia="华文中宋" w:cs="Arial"/>
          <w:szCs w:val="21"/>
          <w:lang w:val="zh-CN"/>
        </w:rPr>
        <w:t>不处于中国政府采购网</w:t>
      </w:r>
      <w:r>
        <w:rPr>
          <w:rFonts w:hint="eastAsia" w:ascii="华文中宋" w:hAnsi="华文中宋" w:eastAsia="华文中宋" w:cs="Arial"/>
          <w:szCs w:val="21"/>
        </w:rPr>
        <w:t>(www.ccgp.gov.cn)“政府采购严重违法失信行为信息记录”中的禁止参加政府采购活动期间。</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6.单位负责人为同一人或者存在直接控股、管理关系的不同供应商，不得参加同一合同项下的政府采购活动。</w:t>
      </w:r>
    </w:p>
    <w:p>
      <w:pPr>
        <w:rPr>
          <w:rFonts w:cs="华文中宋" w:asciiTheme="minorEastAsia" w:hAnsiTheme="minorEastAsia"/>
          <w:b/>
          <w:color w:val="000000"/>
          <w:kern w:val="0"/>
          <w:sz w:val="36"/>
          <w:szCs w:val="36"/>
        </w:rPr>
      </w:pPr>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lang w:val="en-US" w:eastAsia="zh-CN"/>
        </w:rPr>
        <w:t>二</w:t>
      </w:r>
      <w:r>
        <w:rPr>
          <w:rFonts w:hint="eastAsia" w:cs="华文中宋" w:asciiTheme="minorEastAsia" w:hAnsiTheme="minorEastAsia"/>
          <w:color w:val="000000"/>
          <w:kern w:val="0"/>
          <w:sz w:val="28"/>
          <w:szCs w:val="28"/>
        </w:rPr>
        <w:t>、技术需求</w:t>
      </w:r>
    </w:p>
    <w:tbl>
      <w:tblPr>
        <w:tblStyle w:val="6"/>
        <w:tblW w:w="1624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907"/>
        <w:gridCol w:w="1276"/>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31"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90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276"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433"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31" w:type="dxa"/>
            <w:vAlign w:val="center"/>
          </w:tcPr>
          <w:p>
            <w:pPr>
              <w:spacing w:line="360" w:lineRule="exact"/>
              <w:jc w:val="center"/>
              <w:rPr>
                <w:rFonts w:cs="华文中宋" w:asciiTheme="minorEastAsia" w:hAnsiTheme="minorEastAsia"/>
                <w:color w:val="auto"/>
                <w:kern w:val="0"/>
                <w:szCs w:val="21"/>
              </w:rPr>
            </w:pPr>
            <w:r>
              <w:rPr>
                <w:rFonts w:hint="eastAsia" w:cs="华文中宋" w:asciiTheme="minorEastAsia" w:hAnsiTheme="minorEastAsia"/>
                <w:color w:val="auto"/>
                <w:kern w:val="0"/>
                <w:szCs w:val="21"/>
              </w:rPr>
              <w:t>1</w:t>
            </w:r>
          </w:p>
        </w:tc>
        <w:tc>
          <w:tcPr>
            <w:tcW w:w="11907" w:type="dxa"/>
            <w:vAlign w:val="center"/>
          </w:tcPr>
          <w:p>
            <w:pPr>
              <w:spacing w:line="360" w:lineRule="exact"/>
              <w:rPr>
                <w:rFonts w:cs="华文中宋" w:asciiTheme="minorEastAsia" w:hAnsiTheme="minorEastAsia"/>
                <w:color w:val="auto"/>
                <w:kern w:val="0"/>
                <w:szCs w:val="21"/>
              </w:rPr>
            </w:pPr>
            <w:r>
              <w:rPr>
                <w:rFonts w:hint="eastAsia" w:cs="华文中宋" w:asciiTheme="minorEastAsia" w:hAnsiTheme="minorEastAsia"/>
                <w:color w:val="auto"/>
                <w:kern w:val="0"/>
                <w:szCs w:val="21"/>
              </w:rPr>
              <w:t>产品要求：</w:t>
            </w:r>
          </w:p>
          <w:p>
            <w:pPr>
              <w:numPr>
                <w:ilvl w:val="0"/>
                <w:numId w:val="1"/>
              </w:numPr>
              <w:spacing w:line="360" w:lineRule="exact"/>
              <w:rPr>
                <w:rFonts w:cs="华文中宋" w:asciiTheme="minorEastAsia" w:hAnsiTheme="minorEastAsia"/>
                <w:color w:val="auto"/>
                <w:kern w:val="0"/>
                <w:szCs w:val="21"/>
              </w:rPr>
            </w:pPr>
            <w:r>
              <w:rPr>
                <w:rFonts w:hint="eastAsia" w:cs="华文中宋" w:asciiTheme="minorEastAsia" w:hAnsiTheme="minorEastAsia"/>
                <w:color w:val="auto"/>
                <w:kern w:val="0"/>
                <w:szCs w:val="21"/>
              </w:rPr>
              <w:t>能供应目录内的产品,产品品牌型号、参数指标参考产品目录（详见附表：</w:t>
            </w:r>
            <w:r>
              <w:rPr>
                <w:rFonts w:hint="eastAsia" w:cs="华文中宋" w:asciiTheme="minorEastAsia" w:hAnsiTheme="minorEastAsia"/>
                <w:color w:val="auto"/>
                <w:kern w:val="0"/>
                <w:szCs w:val="21"/>
                <w:lang w:eastAsia="zh-CN"/>
              </w:rPr>
              <w:t>药包材采购项目明细表</w:t>
            </w:r>
            <w:r>
              <w:rPr>
                <w:rFonts w:hint="eastAsia" w:cs="华文中宋" w:asciiTheme="minorEastAsia" w:hAnsiTheme="minorEastAsia"/>
                <w:color w:val="auto"/>
                <w:kern w:val="0"/>
                <w:szCs w:val="21"/>
              </w:rPr>
              <w:t>）。</w:t>
            </w:r>
          </w:p>
          <w:p>
            <w:pPr>
              <w:spacing w:line="360" w:lineRule="exact"/>
              <w:rPr>
                <w:rFonts w:cs="华文中宋" w:asciiTheme="minorEastAsia" w:hAnsiTheme="minorEastAsia"/>
                <w:color w:val="auto"/>
                <w:kern w:val="0"/>
                <w:szCs w:val="21"/>
                <w:highlight w:val="lightGray"/>
              </w:rPr>
            </w:pPr>
            <w:r>
              <w:rPr>
                <w:rFonts w:hint="eastAsia" w:cs="华文中宋" w:asciiTheme="minorEastAsia" w:hAnsiTheme="minorEastAsia"/>
                <w:color w:val="auto"/>
                <w:kern w:val="0"/>
                <w:szCs w:val="21"/>
              </w:rPr>
              <w:t>2.供应商必须保证所提供的产品</w:t>
            </w:r>
            <w:r>
              <w:rPr>
                <w:color w:val="auto"/>
                <w:sz w:val="24"/>
                <w:szCs w:val="24"/>
                <w:highlight w:val="none"/>
              </w:rPr>
              <w:t>符合药用要求</w:t>
            </w:r>
            <w:r>
              <w:rPr>
                <w:rFonts w:hint="eastAsia"/>
                <w:color w:val="auto"/>
                <w:sz w:val="24"/>
                <w:szCs w:val="24"/>
                <w:highlight w:val="none"/>
                <w:lang w:eastAsia="zh-CN"/>
              </w:rPr>
              <w:t>，</w:t>
            </w:r>
            <w:r>
              <w:rPr>
                <w:rFonts w:hint="eastAsia" w:cs="华文中宋" w:asciiTheme="minorEastAsia" w:hAnsiTheme="minorEastAsia"/>
                <w:color w:val="auto"/>
                <w:kern w:val="0"/>
                <w:szCs w:val="21"/>
              </w:rPr>
              <w:t>符合</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中国药典</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（2020年版）药包材通用要求指导原则、</w:t>
            </w:r>
            <w:r>
              <w:rPr>
                <w:rFonts w:hint="eastAsia" w:cs="华文中宋" w:asciiTheme="minorEastAsia" w:hAnsiTheme="minorEastAsia"/>
                <w:color w:val="auto"/>
                <w:kern w:val="0"/>
                <w:szCs w:val="21"/>
              </w:rPr>
              <w:t>《国家药包材标准》（2015年版）</w:t>
            </w:r>
            <w:r>
              <w:rPr>
                <w:rFonts w:hint="eastAsia" w:cs="华文中宋" w:asciiTheme="minorEastAsia" w:hAnsiTheme="minorEastAsia"/>
                <w:color w:val="auto"/>
                <w:kern w:val="0"/>
                <w:szCs w:val="21"/>
                <w:lang w:val="en-US" w:eastAsia="zh-CN"/>
              </w:rPr>
              <w:t>的相关要求</w:t>
            </w:r>
            <w:r>
              <w:rPr>
                <w:rFonts w:hint="eastAsia" w:cs="华文中宋" w:asciiTheme="minorEastAsia" w:hAnsiTheme="minorEastAsia"/>
                <w:color w:val="auto"/>
                <w:kern w:val="0"/>
                <w:szCs w:val="21"/>
              </w:rPr>
              <w:t>并有合格的质检报告；同时符合国家药品监督管理部门制定并发布的现行相关标准及规定</w:t>
            </w:r>
            <w:r>
              <w:rPr>
                <w:rFonts w:hint="eastAsia" w:cs="华文中宋" w:asciiTheme="minorEastAsia" w:hAnsiTheme="minorEastAsia"/>
                <w:color w:val="auto"/>
                <w:kern w:val="0"/>
                <w:szCs w:val="21"/>
                <w:lang w:eastAsia="zh-CN"/>
              </w:rPr>
              <w:t>，如</w:t>
            </w:r>
            <w:r>
              <w:rPr>
                <w:rFonts w:hint="eastAsia" w:cs="华文中宋" w:asciiTheme="minorEastAsia" w:hAnsiTheme="minorEastAsia"/>
                <w:color w:val="auto"/>
                <w:kern w:val="0"/>
                <w:szCs w:val="21"/>
              </w:rPr>
              <w:t>《关于进一步完善药品关联审评审批和监管工作有关事宜公告》，具有国家药品监督管理局批准的未失效药</w:t>
            </w:r>
            <w:r>
              <w:rPr>
                <w:rFonts w:hint="eastAsia" w:cs="华文中宋" w:asciiTheme="minorEastAsia" w:hAnsiTheme="minorEastAsia"/>
                <w:color w:val="auto"/>
                <w:kern w:val="0"/>
                <w:szCs w:val="21"/>
                <w:lang w:val="en-US" w:eastAsia="zh-CN"/>
              </w:rPr>
              <w:t>包材</w:t>
            </w:r>
            <w:r>
              <w:rPr>
                <w:rFonts w:hint="eastAsia" w:cs="华文中宋" w:asciiTheme="minorEastAsia" w:hAnsiTheme="minorEastAsia"/>
                <w:color w:val="auto"/>
                <w:kern w:val="0"/>
                <w:szCs w:val="21"/>
              </w:rPr>
              <w:t>注册批件或者在国家药品监督管理局药品审评中心（以下简称CDE）获得登记号且登记状态标识为“A”（已批准在上市制剂使用的</w:t>
            </w:r>
            <w:r>
              <w:rPr>
                <w:rFonts w:hint="eastAsia" w:cs="华文中宋" w:asciiTheme="minorEastAsia" w:hAnsiTheme="minorEastAsia"/>
                <w:color w:val="auto"/>
                <w:kern w:val="0"/>
                <w:szCs w:val="21"/>
                <w:lang w:val="en-US" w:eastAsia="zh-CN"/>
              </w:rPr>
              <w:t>药包材</w:t>
            </w:r>
            <w:r>
              <w:rPr>
                <w:rFonts w:hint="eastAsia" w:cs="华文中宋" w:asciiTheme="minorEastAsia" w:hAnsiTheme="minorEastAsia"/>
                <w:color w:val="auto"/>
                <w:kern w:val="0"/>
                <w:szCs w:val="21"/>
              </w:rPr>
              <w:t>），确保临床用药安全有效。</w:t>
            </w:r>
          </w:p>
          <w:p>
            <w:pPr>
              <w:spacing w:line="360" w:lineRule="exact"/>
              <w:rPr>
                <w:rFonts w:cs="华文中宋" w:asciiTheme="minorEastAsia" w:hAnsiTheme="minorEastAsia"/>
                <w:color w:val="auto"/>
                <w:kern w:val="0"/>
                <w:szCs w:val="21"/>
              </w:rPr>
            </w:pPr>
          </w:p>
        </w:tc>
        <w:tc>
          <w:tcPr>
            <w:tcW w:w="1276" w:type="dxa"/>
            <w:vAlign w:val="center"/>
          </w:tcPr>
          <w:p>
            <w:pPr>
              <w:spacing w:line="360" w:lineRule="exact"/>
              <w:jc w:val="center"/>
              <w:rPr>
                <w:rFonts w:cs="华文中宋" w:asciiTheme="minorEastAsia" w:hAnsiTheme="minorEastAsia"/>
                <w:color w:val="auto"/>
                <w:kern w:val="0"/>
                <w:szCs w:val="21"/>
              </w:rPr>
            </w:pPr>
            <w:r>
              <w:rPr>
                <w:rFonts w:hint="eastAsia" w:cs="华文中宋" w:asciiTheme="minorEastAsia" w:hAnsiTheme="minorEastAsia"/>
                <w:color w:val="auto"/>
                <w:kern w:val="0"/>
                <w:szCs w:val="21"/>
              </w:rPr>
              <w:t>是</w:t>
            </w:r>
          </w:p>
        </w:tc>
        <w:tc>
          <w:tcPr>
            <w:tcW w:w="2433" w:type="dxa"/>
            <w:vAlign w:val="center"/>
          </w:tcPr>
          <w:p>
            <w:pPr>
              <w:numPr>
                <w:ilvl w:val="0"/>
                <w:numId w:val="2"/>
              </w:numPr>
              <w:spacing w:line="360" w:lineRule="exact"/>
              <w:rPr>
                <w:rFonts w:cs="华文中宋" w:asciiTheme="minorEastAsia" w:hAnsiTheme="minorEastAsia"/>
                <w:color w:val="auto"/>
                <w:kern w:val="0"/>
                <w:szCs w:val="21"/>
              </w:rPr>
            </w:pPr>
            <w:r>
              <w:rPr>
                <w:rFonts w:hint="eastAsia" w:cs="华文中宋" w:asciiTheme="minorEastAsia" w:hAnsiTheme="minorEastAsia"/>
                <w:color w:val="auto"/>
                <w:kern w:val="0"/>
                <w:szCs w:val="21"/>
              </w:rPr>
              <w:t>保证供货</w:t>
            </w:r>
          </w:p>
          <w:p>
            <w:pPr>
              <w:numPr>
                <w:ilvl w:val="0"/>
                <w:numId w:val="2"/>
              </w:num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中国药典</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w:t>
            </w:r>
            <w:r>
              <w:rPr>
                <w:rFonts w:hint="eastAsia" w:cs="华文中宋" w:asciiTheme="minorEastAsia" w:hAnsiTheme="minorEastAsia"/>
                <w:color w:val="auto"/>
                <w:kern w:val="0"/>
                <w:szCs w:val="21"/>
              </w:rPr>
              <w:t>《国家药包材标准》（2015年版）</w:t>
            </w:r>
            <w:r>
              <w:rPr>
                <w:rFonts w:hint="eastAsia" w:cs="华文中宋" w:asciiTheme="minorEastAsia" w:hAnsiTheme="minorEastAsia"/>
                <w:color w:val="auto"/>
                <w:kern w:val="0"/>
                <w:szCs w:val="21"/>
                <w:lang w:eastAsia="zh-CN"/>
              </w:rPr>
              <w:t>、</w:t>
            </w:r>
            <w:r>
              <w:rPr>
                <w:rFonts w:hint="eastAsia" w:cs="华文中宋" w:asciiTheme="minorEastAsia" w:hAnsiTheme="minorEastAsia"/>
                <w:color w:val="auto"/>
                <w:kern w:val="0"/>
                <w:szCs w:val="21"/>
              </w:rPr>
              <w:t>国家药监局</w:t>
            </w:r>
            <w:r>
              <w:rPr>
                <w:rFonts w:hint="eastAsia" w:cs="华文中宋" w:asciiTheme="minorEastAsia" w:hAnsiTheme="minorEastAsia"/>
                <w:color w:val="auto"/>
                <w:kern w:val="0"/>
                <w:szCs w:val="21"/>
                <w:lang w:eastAsia="zh-CN"/>
              </w:rPr>
              <w:t>发布的</w:t>
            </w:r>
            <w:r>
              <w:rPr>
                <w:rFonts w:hint="eastAsia" w:cs="华文中宋" w:asciiTheme="minorEastAsia" w:hAnsiTheme="minorEastAsia"/>
                <w:color w:val="auto"/>
                <w:kern w:val="0"/>
                <w:szCs w:val="21"/>
              </w:rPr>
              <w:t>《关于进一步完善药品关联审评审批和监管工作有关事宜公告》</w:t>
            </w:r>
            <w:r>
              <w:rPr>
                <w:rFonts w:hint="eastAsia" w:cs="华文中宋" w:asciiTheme="minorEastAsia" w:hAnsiTheme="minorEastAsia"/>
                <w:color w:val="auto"/>
                <w:kern w:val="0"/>
                <w:szCs w:val="21"/>
                <w:lang w:eastAsia="zh-CN"/>
              </w:rPr>
              <w:t>等要求</w:t>
            </w:r>
            <w:r>
              <w:rPr>
                <w:color w:val="auto"/>
                <w:sz w:val="24"/>
                <w:szCs w:val="24"/>
                <w:highlight w:val="none"/>
              </w:rPr>
              <w:t>原辅包的使用必须符合药用要求</w:t>
            </w:r>
            <w:r>
              <w:rPr>
                <w:rFonts w:hint="eastAsia"/>
                <w:color w:val="auto"/>
                <w:sz w:val="24"/>
                <w:szCs w:val="24"/>
                <w:highlight w:val="none"/>
                <w:lang w:eastAsia="zh-CN"/>
              </w:rPr>
              <w:t>。</w:t>
            </w:r>
          </w:p>
        </w:tc>
      </w:tr>
    </w:tbl>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二、商务需求</w:t>
      </w:r>
    </w:p>
    <w:tbl>
      <w:tblPr>
        <w:tblStyle w:val="6"/>
        <w:tblW w:w="16261"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2058"/>
        <w:gridCol w:w="1335"/>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2058"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33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91"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2058"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采购周期：</w:t>
            </w:r>
            <w:r>
              <w:rPr>
                <w:rFonts w:hint="eastAsia" w:cs="华文中宋" w:asciiTheme="minorEastAsia" w:hAnsiTheme="minorEastAsia"/>
                <w:color w:val="000000"/>
                <w:kern w:val="0"/>
                <w:szCs w:val="21"/>
                <w:lang w:val="en-US" w:eastAsia="zh-CN"/>
              </w:rPr>
              <w:t>一</w:t>
            </w:r>
            <w:r>
              <w:rPr>
                <w:rFonts w:hint="eastAsia" w:cs="华文中宋" w:asciiTheme="minorEastAsia" w:hAnsiTheme="minorEastAsia"/>
                <w:color w:val="000000"/>
                <w:kern w:val="0"/>
                <w:szCs w:val="21"/>
              </w:rPr>
              <w:t>年，周期内按需采购。</w:t>
            </w:r>
          </w:p>
        </w:tc>
        <w:tc>
          <w:tcPr>
            <w:tcW w:w="1335" w:type="dxa"/>
            <w:vAlign w:val="center"/>
          </w:tcPr>
          <w:p>
            <w:pPr>
              <w:spacing w:line="360" w:lineRule="exact"/>
              <w:jc w:val="center"/>
              <w:rPr>
                <w:rFonts w:cs="华文中宋" w:asciiTheme="minorEastAsia" w:hAnsiTheme="minorEastAsia"/>
                <w:color w:val="000000"/>
                <w:kern w:val="0"/>
                <w:sz w:val="13"/>
                <w:szCs w:val="13"/>
              </w:rPr>
            </w:pPr>
          </w:p>
        </w:tc>
        <w:tc>
          <w:tcPr>
            <w:tcW w:w="2391"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w:t>
            </w:r>
          </w:p>
        </w:tc>
        <w:tc>
          <w:tcPr>
            <w:tcW w:w="12058"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付款方式：货验收合格且票据齐全的情况下，90天内付款。</w:t>
            </w:r>
          </w:p>
        </w:tc>
        <w:tc>
          <w:tcPr>
            <w:tcW w:w="1335" w:type="dxa"/>
            <w:vAlign w:val="center"/>
          </w:tcPr>
          <w:p>
            <w:pPr>
              <w:spacing w:line="360" w:lineRule="exact"/>
              <w:jc w:val="center"/>
              <w:rPr>
                <w:rFonts w:cs="华文中宋" w:asciiTheme="minorEastAsia" w:hAnsiTheme="minorEastAsia"/>
                <w:color w:val="000000"/>
                <w:kern w:val="0"/>
                <w:sz w:val="13"/>
                <w:szCs w:val="13"/>
              </w:rPr>
            </w:pPr>
          </w:p>
        </w:tc>
        <w:tc>
          <w:tcPr>
            <w:tcW w:w="2391"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w:t>
            </w:r>
          </w:p>
        </w:tc>
        <w:tc>
          <w:tcPr>
            <w:tcW w:w="12058"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送货方式：</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1、供应商须每次根据采购人通知订购计划后，一般产品5天内送到，急需产品节假日照常配送。紧急物资供应项目供应周期不能超过2天。每批次采购品种数量以采购人的指令为准。</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每次配送的时间和数量以采购订单为准，配送时应向我方提供符合国家税法规定的正规发票、加盖公章的发货单（不少于三联）、产品合格证、质量合格证、该批货物的质检报告等资质或证明文件。进口原辅料附注册证、产品备案凭证、产品备案信息表等资质或其他符合有关法律法规规定的相关证明文件。</w:t>
            </w:r>
          </w:p>
        </w:tc>
        <w:tc>
          <w:tcPr>
            <w:tcW w:w="133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91" w:type="dxa"/>
            <w:vAlign w:val="center"/>
          </w:tcPr>
          <w:p>
            <w:pPr>
              <w:spacing w:line="360" w:lineRule="exact"/>
              <w:jc w:val="left"/>
              <w:rPr>
                <w:rFonts w:hint="eastAsia" w:cs="华文中宋" w:asciiTheme="minorEastAsia" w:hAnsiTheme="minorEastAsia" w:eastAsiaTheme="minorEastAsia"/>
                <w:color w:val="000000"/>
                <w:kern w:val="0"/>
                <w:szCs w:val="21"/>
                <w:lang w:val="en-US" w:eastAsia="zh-CN"/>
              </w:rPr>
            </w:pPr>
            <w:r>
              <w:rPr>
                <w:rFonts w:hint="eastAsia" w:cs="华文中宋" w:asciiTheme="minorEastAsia" w:hAnsiTheme="minorEastAsia"/>
                <w:color w:val="000000"/>
                <w:kern w:val="0"/>
                <w:szCs w:val="21"/>
              </w:rPr>
              <w:t>保证供货及时，不影响生产</w:t>
            </w:r>
            <w:r>
              <w:rPr>
                <w:rFonts w:hint="eastAsia" w:cs="华文中宋" w:asciiTheme="minorEastAsia" w:hAnsiTheme="minor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4</w:t>
            </w:r>
          </w:p>
        </w:tc>
        <w:tc>
          <w:tcPr>
            <w:tcW w:w="12058" w:type="dxa"/>
            <w:vAlign w:val="center"/>
          </w:tcPr>
          <w:p>
            <w:p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rPr>
              <w:t>验收质量标准：</w:t>
            </w:r>
          </w:p>
          <w:p>
            <w:p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rPr>
              <w:t>1、必须符合产品自身的注册标准，同时还应符合</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中国药典</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（2020年版）药包材通用要求指导原则、</w:t>
            </w:r>
            <w:r>
              <w:rPr>
                <w:rFonts w:hint="eastAsia" w:cs="华文中宋" w:asciiTheme="minorEastAsia" w:hAnsiTheme="minorEastAsia"/>
                <w:color w:val="auto"/>
                <w:kern w:val="0"/>
                <w:szCs w:val="21"/>
              </w:rPr>
              <w:t>《国家药包材标准》（2015年版）</w:t>
            </w:r>
            <w:r>
              <w:rPr>
                <w:rFonts w:hint="eastAsia" w:cs="华文中宋" w:asciiTheme="minorEastAsia" w:hAnsiTheme="minorEastAsia"/>
                <w:color w:val="auto"/>
                <w:kern w:val="0"/>
                <w:szCs w:val="21"/>
                <w:lang w:eastAsia="zh-CN"/>
              </w:rPr>
              <w:t>等</w:t>
            </w:r>
            <w:r>
              <w:rPr>
                <w:rFonts w:hint="eastAsia" w:cs="华文中宋" w:asciiTheme="minorEastAsia" w:hAnsiTheme="minorEastAsia"/>
                <w:color w:val="auto"/>
                <w:kern w:val="0"/>
                <w:szCs w:val="21"/>
              </w:rPr>
              <w:t>相关要求。供应商提供的产品质量标准如有更新，必须实时提供最新版本。</w:t>
            </w:r>
          </w:p>
          <w:p>
            <w:p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rPr>
              <w:t>2、供应商应保证所配送的产品有效期必须不少于12个月，且不得少于整个产品有效期的2/3。特殊品种由双方另行协商。</w:t>
            </w:r>
          </w:p>
        </w:tc>
        <w:tc>
          <w:tcPr>
            <w:tcW w:w="1335" w:type="dxa"/>
            <w:vAlign w:val="center"/>
          </w:tcPr>
          <w:p>
            <w:pPr>
              <w:spacing w:line="360" w:lineRule="exact"/>
              <w:jc w:val="center"/>
              <w:rPr>
                <w:rFonts w:cs="华文中宋" w:asciiTheme="minorEastAsia" w:hAnsiTheme="minorEastAsia"/>
                <w:color w:val="auto"/>
                <w:kern w:val="0"/>
                <w:szCs w:val="21"/>
              </w:rPr>
            </w:pPr>
            <w:r>
              <w:rPr>
                <w:rFonts w:hint="eastAsia" w:cs="华文中宋" w:asciiTheme="minorEastAsia" w:hAnsiTheme="minorEastAsia"/>
                <w:color w:val="auto"/>
                <w:kern w:val="0"/>
                <w:szCs w:val="21"/>
              </w:rPr>
              <w:t>是</w:t>
            </w:r>
          </w:p>
        </w:tc>
        <w:tc>
          <w:tcPr>
            <w:tcW w:w="2391" w:type="dxa"/>
            <w:vAlign w:val="center"/>
          </w:tcPr>
          <w:p>
            <w:p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rPr>
              <w:t>《药品管理法》规定</w:t>
            </w:r>
            <w:r>
              <w:rPr>
                <w:rFonts w:ascii="Helvetica" w:hAnsi="Helvetica" w:eastAsia="Helvetica" w:cs="Helvetica"/>
                <w:i w:val="0"/>
                <w:caps w:val="0"/>
                <w:color w:val="auto"/>
                <w:spacing w:val="0"/>
                <w:sz w:val="21"/>
                <w:szCs w:val="21"/>
                <w:shd w:val="clear" w:fill="FFFFFF"/>
              </w:rPr>
              <w:t>医疗机构配制制剂，所需的原料、辅料和包装材料等应当符合药用要求。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5</w:t>
            </w:r>
          </w:p>
        </w:tc>
        <w:tc>
          <w:tcPr>
            <w:tcW w:w="12058"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违约责任：</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1、供应商应对不符合要求的产品（如不符合质量</w:t>
            </w:r>
            <w:r>
              <w:rPr>
                <w:rFonts w:hint="eastAsia" w:cs="华文中宋" w:asciiTheme="minorEastAsia" w:hAnsiTheme="minorEastAsia"/>
                <w:color w:val="000000"/>
                <w:kern w:val="0"/>
                <w:szCs w:val="21"/>
                <w:lang w:eastAsia="zh-CN"/>
              </w:rPr>
              <w:t>标准</w:t>
            </w:r>
            <w:r>
              <w:rPr>
                <w:rFonts w:hint="eastAsia" w:cs="华文中宋" w:asciiTheme="minorEastAsia" w:hAnsiTheme="minorEastAsia"/>
                <w:color w:val="000000"/>
                <w:kern w:val="0"/>
                <w:szCs w:val="21"/>
              </w:rPr>
              <w:t>、有效期、包装和订单数量要求及破损的产品等）在15日内进行更换，更换过程产生的相关费用由供应商承担；同时不得影响我方的临床应用或其他使用。</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 xml:space="preserve">2、所提供产品不符合质量标准的，我方有权要求退货且无需支付货款。退货过程产生的相关费用由供应商承担。如我方已支付该部分货款的，供应商应当于我方提出退货要求之日起七日内予以退还。     </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3、供应商应在产品的有效期内保证其质量。在有效期内供货者对任何缺陷和劣变药</w:t>
            </w:r>
            <w:r>
              <w:rPr>
                <w:rFonts w:hint="eastAsia" w:cs="华文中宋" w:asciiTheme="minorEastAsia" w:hAnsiTheme="minorEastAsia"/>
                <w:color w:val="000000"/>
                <w:kern w:val="0"/>
                <w:szCs w:val="21"/>
                <w:lang w:val="en-US" w:eastAsia="zh-CN"/>
              </w:rPr>
              <w:t>包材</w:t>
            </w:r>
            <w:r>
              <w:rPr>
                <w:rFonts w:hint="eastAsia" w:cs="华文中宋" w:asciiTheme="minorEastAsia" w:hAnsiTheme="minorEastAsia"/>
                <w:color w:val="000000"/>
                <w:kern w:val="0"/>
                <w:szCs w:val="21"/>
              </w:rPr>
              <w:t>应实施补偿改善措施，更换所有需要更换的药</w:t>
            </w:r>
            <w:r>
              <w:rPr>
                <w:rFonts w:hint="eastAsia" w:cs="华文中宋" w:asciiTheme="minorEastAsia" w:hAnsiTheme="minorEastAsia"/>
                <w:color w:val="000000"/>
                <w:kern w:val="0"/>
                <w:szCs w:val="21"/>
                <w:lang w:val="en-US" w:eastAsia="zh-CN"/>
              </w:rPr>
              <w:t>包材</w:t>
            </w:r>
            <w:r>
              <w:rPr>
                <w:rFonts w:hint="eastAsia" w:cs="华文中宋" w:asciiTheme="minorEastAsia" w:hAnsiTheme="minorEastAsia"/>
                <w:color w:val="000000"/>
                <w:kern w:val="0"/>
                <w:szCs w:val="21"/>
              </w:rPr>
              <w:t>并承担所需费用。且须以组合包装方式更换所有相同生产批号的药</w:t>
            </w:r>
            <w:r>
              <w:rPr>
                <w:rFonts w:hint="eastAsia" w:cs="华文中宋" w:asciiTheme="minorEastAsia" w:hAnsiTheme="minorEastAsia"/>
                <w:color w:val="000000"/>
                <w:kern w:val="0"/>
                <w:szCs w:val="21"/>
                <w:lang w:val="en-US" w:eastAsia="zh-CN"/>
              </w:rPr>
              <w:t>包材</w:t>
            </w:r>
            <w:r>
              <w:rPr>
                <w:rFonts w:hint="eastAsia" w:cs="华文中宋" w:asciiTheme="minorEastAsia" w:hAnsiTheme="minorEastAsia"/>
                <w:color w:val="000000"/>
                <w:kern w:val="0"/>
                <w:szCs w:val="21"/>
              </w:rPr>
              <w:t>，不能只更换有缺陷和劣变的药</w:t>
            </w:r>
            <w:r>
              <w:rPr>
                <w:rFonts w:hint="eastAsia" w:cs="华文中宋" w:asciiTheme="minorEastAsia" w:hAnsiTheme="minorEastAsia"/>
                <w:color w:val="000000"/>
                <w:kern w:val="0"/>
                <w:szCs w:val="21"/>
                <w:lang w:val="en-US" w:eastAsia="zh-CN"/>
              </w:rPr>
              <w:t>包材</w:t>
            </w:r>
            <w:r>
              <w:rPr>
                <w:rFonts w:hint="eastAsia" w:cs="华文中宋" w:asciiTheme="minorEastAsia" w:hAnsiTheme="minorEastAsia"/>
                <w:color w:val="000000"/>
                <w:kern w:val="0"/>
                <w:szCs w:val="21"/>
              </w:rPr>
              <w:t>。更换后的有效期不得少于12个月且不得少于整个产品有效期的2/3，特殊品种除外。</w:t>
            </w:r>
          </w:p>
        </w:tc>
        <w:tc>
          <w:tcPr>
            <w:tcW w:w="1335" w:type="dxa"/>
            <w:vAlign w:val="center"/>
          </w:tcPr>
          <w:p>
            <w:pPr>
              <w:spacing w:line="360" w:lineRule="exact"/>
              <w:jc w:val="center"/>
              <w:rPr>
                <w:rFonts w:cs="华文中宋" w:asciiTheme="minorEastAsia" w:hAnsiTheme="minorEastAsia"/>
                <w:color w:val="000000"/>
                <w:kern w:val="0"/>
                <w:sz w:val="13"/>
                <w:szCs w:val="13"/>
              </w:rPr>
            </w:pPr>
          </w:p>
        </w:tc>
        <w:tc>
          <w:tcPr>
            <w:tcW w:w="2391" w:type="dxa"/>
            <w:vAlign w:val="center"/>
          </w:tcPr>
          <w:p>
            <w:pPr>
              <w:spacing w:line="360" w:lineRule="exact"/>
              <w:jc w:val="center"/>
              <w:rPr>
                <w:rFonts w:cs="华文中宋" w:asciiTheme="minorEastAsia" w:hAnsiTheme="minorEastAsia"/>
                <w:color w:val="000000"/>
                <w:kern w:val="0"/>
                <w:szCs w:val="21"/>
              </w:rPr>
            </w:pPr>
          </w:p>
        </w:tc>
      </w:tr>
    </w:tbl>
    <w:p>
      <w:pPr>
        <w:jc w:val="left"/>
        <w:rPr>
          <w:rFonts w:cs="华文中宋" w:asciiTheme="minorEastAsia" w:hAnsiTheme="minorEastAsia"/>
          <w:color w:val="000000"/>
          <w:kern w:val="0"/>
          <w:sz w:val="28"/>
          <w:szCs w:val="28"/>
        </w:rPr>
      </w:pPr>
    </w:p>
    <w:p>
      <w:pPr>
        <w:jc w:val="both"/>
        <w:rPr>
          <w:rFonts w:hint="eastAsia" w:cs="Arial" w:asciiTheme="minorEastAsia" w:hAnsiTheme="minorEastAsia"/>
          <w:b/>
          <w:color w:val="000000"/>
          <w:kern w:val="0"/>
          <w:sz w:val="36"/>
          <w:szCs w:val="36"/>
          <w:lang w:val="en-US" w:eastAsia="zh-CN"/>
        </w:rPr>
      </w:pPr>
    </w:p>
    <w:p>
      <w:pPr>
        <w:jc w:val="both"/>
        <w:rPr>
          <w:rFonts w:hint="eastAsia" w:cs="Arial" w:asciiTheme="minorEastAsia" w:hAnsiTheme="minorEastAsia"/>
          <w:b/>
          <w:color w:val="000000"/>
          <w:kern w:val="0"/>
          <w:sz w:val="36"/>
          <w:szCs w:val="36"/>
          <w:lang w:val="en-US" w:eastAsia="zh-CN"/>
        </w:rPr>
      </w:pPr>
    </w:p>
    <w:p>
      <w:pPr>
        <w:jc w:val="center"/>
        <w:rPr>
          <w:rFonts w:cs="华文中宋" w:asciiTheme="minorEastAsia" w:hAnsiTheme="minorEastAsia"/>
          <w:color w:val="000000"/>
          <w:kern w:val="0"/>
          <w:sz w:val="28"/>
          <w:szCs w:val="28"/>
        </w:rPr>
      </w:pPr>
      <w:r>
        <w:rPr>
          <w:rFonts w:hint="eastAsia" w:cs="Arial" w:asciiTheme="minorEastAsia" w:hAnsiTheme="minorEastAsia"/>
          <w:b/>
          <w:color w:val="000000"/>
          <w:kern w:val="0"/>
          <w:sz w:val="36"/>
          <w:szCs w:val="36"/>
          <w:lang w:val="en-US" w:eastAsia="zh-CN"/>
        </w:rPr>
        <w:t>药包材</w:t>
      </w:r>
      <w:r>
        <w:rPr>
          <w:rFonts w:hint="eastAsia" w:cs="华文中宋" w:asciiTheme="minorEastAsia" w:hAnsiTheme="minorEastAsia"/>
          <w:b/>
          <w:color w:val="000000"/>
          <w:kern w:val="0"/>
          <w:sz w:val="36"/>
          <w:szCs w:val="36"/>
          <w:lang w:val="zh-CN"/>
        </w:rPr>
        <w:t>采购项目</w:t>
      </w:r>
      <w:r>
        <w:rPr>
          <w:rFonts w:hint="eastAsia" w:cs="Arial" w:asciiTheme="minorEastAsia" w:hAnsiTheme="minorEastAsia"/>
          <w:b/>
          <w:color w:val="000000"/>
          <w:kern w:val="0"/>
          <w:sz w:val="36"/>
          <w:szCs w:val="36"/>
        </w:rPr>
        <w:t>明细表</w:t>
      </w:r>
    </w:p>
    <w:tbl>
      <w:tblPr>
        <w:tblStyle w:val="5"/>
        <w:tblpPr w:leftFromText="180" w:rightFromText="180" w:vertAnchor="text" w:horzAnchor="page" w:tblpXSpec="center" w:tblpY="406"/>
        <w:tblOverlap w:val="never"/>
        <w:tblW w:w="14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60"/>
        <w:gridCol w:w="2500"/>
        <w:gridCol w:w="5250"/>
        <w:gridCol w:w="735"/>
        <w:gridCol w:w="1245"/>
        <w:gridCol w:w="82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参考品牌</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规格及</w:t>
            </w:r>
            <w:bookmarkStart w:id="1" w:name="_GoBack"/>
            <w:bookmarkEnd w:id="1"/>
            <w:r>
              <w:rPr>
                <w:rFonts w:hint="eastAsia" w:ascii="宋体" w:hAnsi="宋体" w:eastAsia="宋体" w:cs="宋体"/>
                <w:i w:val="0"/>
                <w:iCs w:val="0"/>
                <w:color w:val="000000"/>
                <w:kern w:val="0"/>
                <w:sz w:val="24"/>
                <w:szCs w:val="24"/>
                <w:u w:val="none"/>
                <w:lang w:val="en-US" w:eastAsia="zh-CN" w:bidi="ar"/>
              </w:rPr>
              <w:t>参数指标描述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预算单价（元）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预算总额（元）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液体药用聚酯瓶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1.100ml；透明和棕色；白盖带铝膜；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2.CDE公示为药包材，登记状态标识为“A”，且符合《国家药包材标准》（2015年版）。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液体药用聚酯瓶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1.60ml；透明；白盖带铝膜；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2.CDE公示为药包材，登记状态标识为“A”，且符合《国家药包材标准》（2015年版）。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液体药用聚酯瓶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1.20ml；</w:t>
            </w:r>
            <w:r>
              <w:rPr>
                <w:rStyle w:val="11"/>
                <w:lang w:val="en-US" w:eastAsia="zh-CN" w:bidi="ar"/>
              </w:rPr>
              <w:t>透明和棕色</w:t>
            </w:r>
            <w:r>
              <w:rPr>
                <w:rStyle w:val="11"/>
                <w:rFonts w:hint="eastAsia"/>
                <w:lang w:val="en-US" w:eastAsia="zh-CN" w:bidi="ar"/>
              </w:rPr>
              <w:t>；白盖带铝膜；</w:t>
            </w:r>
            <w:r>
              <w:rPr>
                <w:rStyle w:val="11"/>
                <w:rFonts w:hint="eastAsia"/>
                <w:lang w:val="en-US" w:eastAsia="zh-CN" w:bidi="ar"/>
              </w:rPr>
              <w:br w:type="textWrapping"/>
            </w:r>
            <w:r>
              <w:rPr>
                <w:rStyle w:val="11"/>
                <w:rFonts w:hint="eastAsia"/>
                <w:lang w:val="en-US" w:eastAsia="zh-CN" w:bidi="ar"/>
              </w:rPr>
              <w:t>2.</w:t>
            </w:r>
            <w:r>
              <w:rPr>
                <w:rFonts w:hint="eastAsia" w:ascii="宋体" w:hAnsi="宋体" w:eastAsia="宋体" w:cs="宋体"/>
                <w:i w:val="0"/>
                <w:iCs w:val="0"/>
                <w:color w:val="000000"/>
                <w:kern w:val="0"/>
                <w:sz w:val="24"/>
                <w:szCs w:val="24"/>
                <w:u w:val="none"/>
                <w:lang w:val="en-US" w:eastAsia="zh-CN" w:bidi="ar"/>
              </w:rPr>
              <w:t>CDE公示为药包材，登记状态标识为“A”，且符合《国家药包材标准》（2015年版）。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固体药用聚丙烯瓶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1.40g；白盒；蓝盖带铝膜；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2.CDE公示为药包材，登记状态标识为“A”，且符合《国家药包材标准》（2015年版）。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聚乙烯药用软膏管</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25g；</w:t>
            </w:r>
            <w:r>
              <w:rPr>
                <w:rFonts w:hint="eastAsia" w:ascii="宋体" w:hAnsi="宋体" w:eastAsia="宋体" w:cs="宋体"/>
                <w:i w:val="0"/>
                <w:iCs w:val="0"/>
                <w:color w:val="000000"/>
                <w:kern w:val="0"/>
                <w:sz w:val="24"/>
                <w:szCs w:val="24"/>
                <w:u w:val="none"/>
                <w:lang w:val="en-US" w:eastAsia="zh-CN" w:bidi="ar"/>
              </w:rPr>
              <w:t>白管白盖并可印字；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2.CDE公示为药包材，登记状态标识为“A”，且符合《国家药包材标准》（2015年版）。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2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合计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88640</w:t>
            </w:r>
          </w:p>
        </w:tc>
      </w:tr>
    </w:tbl>
    <w:p>
      <w:pPr>
        <w:rPr>
          <w:rFonts w:ascii="华文中宋" w:hAnsi="华文中宋" w:eastAsia="华文中宋" w:cs="华文中宋"/>
          <w:sz w:val="16"/>
          <w:szCs w:val="16"/>
        </w:rPr>
      </w:pPr>
    </w:p>
    <w:sectPr>
      <w:pgSz w:w="16838" w:h="11906" w:orient="landscape"/>
      <w:pgMar w:top="170" w:right="567" w:bottom="17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1F12"/>
    <w:multiLevelType w:val="singleLevel"/>
    <w:tmpl w:val="42A01F12"/>
    <w:lvl w:ilvl="0" w:tentative="0">
      <w:start w:val="1"/>
      <w:numFmt w:val="decimal"/>
      <w:lvlText w:val="%1."/>
      <w:lvlJc w:val="left"/>
      <w:pPr>
        <w:tabs>
          <w:tab w:val="left" w:pos="312"/>
        </w:tabs>
      </w:pPr>
    </w:lvl>
  </w:abstractNum>
  <w:abstractNum w:abstractNumId="1">
    <w:nsid w:val="6E946CC8"/>
    <w:multiLevelType w:val="singleLevel"/>
    <w:tmpl w:val="6E946CC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867EB"/>
    <w:rsid w:val="000616C0"/>
    <w:rsid w:val="00063B3A"/>
    <w:rsid w:val="00072504"/>
    <w:rsid w:val="000A2CB0"/>
    <w:rsid w:val="0012180E"/>
    <w:rsid w:val="00142F94"/>
    <w:rsid w:val="00153980"/>
    <w:rsid w:val="001A6821"/>
    <w:rsid w:val="001C0E13"/>
    <w:rsid w:val="001F0B6A"/>
    <w:rsid w:val="00206A3C"/>
    <w:rsid w:val="002155F5"/>
    <w:rsid w:val="00217449"/>
    <w:rsid w:val="00224881"/>
    <w:rsid w:val="00233BB5"/>
    <w:rsid w:val="00235119"/>
    <w:rsid w:val="00285463"/>
    <w:rsid w:val="00297E18"/>
    <w:rsid w:val="002C1F3B"/>
    <w:rsid w:val="002D6652"/>
    <w:rsid w:val="00300915"/>
    <w:rsid w:val="003023A4"/>
    <w:rsid w:val="003052F1"/>
    <w:rsid w:val="00320839"/>
    <w:rsid w:val="003837A5"/>
    <w:rsid w:val="003919DB"/>
    <w:rsid w:val="003A1A77"/>
    <w:rsid w:val="003A39AB"/>
    <w:rsid w:val="003E36F4"/>
    <w:rsid w:val="00413720"/>
    <w:rsid w:val="00455533"/>
    <w:rsid w:val="00457D08"/>
    <w:rsid w:val="00465FA1"/>
    <w:rsid w:val="004821F6"/>
    <w:rsid w:val="004A270B"/>
    <w:rsid w:val="004C35AB"/>
    <w:rsid w:val="00504B1A"/>
    <w:rsid w:val="00516E41"/>
    <w:rsid w:val="0052644C"/>
    <w:rsid w:val="0053384F"/>
    <w:rsid w:val="00542D15"/>
    <w:rsid w:val="0054573A"/>
    <w:rsid w:val="00551828"/>
    <w:rsid w:val="00563710"/>
    <w:rsid w:val="00567B79"/>
    <w:rsid w:val="0058208F"/>
    <w:rsid w:val="005B47AB"/>
    <w:rsid w:val="005E24AC"/>
    <w:rsid w:val="0067425F"/>
    <w:rsid w:val="00682923"/>
    <w:rsid w:val="006A4CE4"/>
    <w:rsid w:val="006D44AF"/>
    <w:rsid w:val="00752762"/>
    <w:rsid w:val="00756822"/>
    <w:rsid w:val="00763711"/>
    <w:rsid w:val="00777EF0"/>
    <w:rsid w:val="007834F9"/>
    <w:rsid w:val="00784832"/>
    <w:rsid w:val="007A6071"/>
    <w:rsid w:val="007A7A3B"/>
    <w:rsid w:val="007B7A7E"/>
    <w:rsid w:val="007C58AA"/>
    <w:rsid w:val="007F664E"/>
    <w:rsid w:val="008044F0"/>
    <w:rsid w:val="008051CF"/>
    <w:rsid w:val="00805598"/>
    <w:rsid w:val="00810E66"/>
    <w:rsid w:val="00851718"/>
    <w:rsid w:val="00861170"/>
    <w:rsid w:val="00897D97"/>
    <w:rsid w:val="008C7939"/>
    <w:rsid w:val="008D10F9"/>
    <w:rsid w:val="008D11D9"/>
    <w:rsid w:val="00900515"/>
    <w:rsid w:val="009128A8"/>
    <w:rsid w:val="00920458"/>
    <w:rsid w:val="00925E61"/>
    <w:rsid w:val="009300D1"/>
    <w:rsid w:val="00957FE1"/>
    <w:rsid w:val="00962575"/>
    <w:rsid w:val="00990CEA"/>
    <w:rsid w:val="009A2080"/>
    <w:rsid w:val="009A457B"/>
    <w:rsid w:val="009E1603"/>
    <w:rsid w:val="00A04710"/>
    <w:rsid w:val="00A26D72"/>
    <w:rsid w:val="00A4361A"/>
    <w:rsid w:val="00A43C5F"/>
    <w:rsid w:val="00A47B66"/>
    <w:rsid w:val="00A520B1"/>
    <w:rsid w:val="00A52180"/>
    <w:rsid w:val="00A56B03"/>
    <w:rsid w:val="00A95D75"/>
    <w:rsid w:val="00B1678E"/>
    <w:rsid w:val="00B301E7"/>
    <w:rsid w:val="00B41C15"/>
    <w:rsid w:val="00B421AE"/>
    <w:rsid w:val="00B847BD"/>
    <w:rsid w:val="00BC02A5"/>
    <w:rsid w:val="00BD5905"/>
    <w:rsid w:val="00BF1609"/>
    <w:rsid w:val="00C06E38"/>
    <w:rsid w:val="00C24653"/>
    <w:rsid w:val="00C35DF4"/>
    <w:rsid w:val="00C522D7"/>
    <w:rsid w:val="00C83CE7"/>
    <w:rsid w:val="00C918AC"/>
    <w:rsid w:val="00C91B56"/>
    <w:rsid w:val="00C91D82"/>
    <w:rsid w:val="00CD1EDE"/>
    <w:rsid w:val="00CE0C6A"/>
    <w:rsid w:val="00CE1D32"/>
    <w:rsid w:val="00CE752C"/>
    <w:rsid w:val="00CF73B4"/>
    <w:rsid w:val="00D17D73"/>
    <w:rsid w:val="00D57133"/>
    <w:rsid w:val="00D61952"/>
    <w:rsid w:val="00D631EE"/>
    <w:rsid w:val="00D6487C"/>
    <w:rsid w:val="00D840DA"/>
    <w:rsid w:val="00D92E53"/>
    <w:rsid w:val="00DA4B7F"/>
    <w:rsid w:val="00DA653E"/>
    <w:rsid w:val="00DC65C7"/>
    <w:rsid w:val="00E00FA0"/>
    <w:rsid w:val="00E22D03"/>
    <w:rsid w:val="00E3652D"/>
    <w:rsid w:val="00E5313E"/>
    <w:rsid w:val="00E56A09"/>
    <w:rsid w:val="00E868B7"/>
    <w:rsid w:val="00EE70FA"/>
    <w:rsid w:val="00EF5A41"/>
    <w:rsid w:val="00F07D66"/>
    <w:rsid w:val="00F2750F"/>
    <w:rsid w:val="00F328F8"/>
    <w:rsid w:val="00F47FF1"/>
    <w:rsid w:val="00F745F2"/>
    <w:rsid w:val="00F7721F"/>
    <w:rsid w:val="00FA2E85"/>
    <w:rsid w:val="00FB2E06"/>
    <w:rsid w:val="00FC4549"/>
    <w:rsid w:val="00FE3722"/>
    <w:rsid w:val="01F42DA7"/>
    <w:rsid w:val="05CD3A93"/>
    <w:rsid w:val="05FF1E55"/>
    <w:rsid w:val="07B016B4"/>
    <w:rsid w:val="08894AD9"/>
    <w:rsid w:val="09704F31"/>
    <w:rsid w:val="12C824D3"/>
    <w:rsid w:val="142B0D78"/>
    <w:rsid w:val="158D6122"/>
    <w:rsid w:val="17427638"/>
    <w:rsid w:val="18041ADC"/>
    <w:rsid w:val="19870717"/>
    <w:rsid w:val="1BFE2351"/>
    <w:rsid w:val="29450060"/>
    <w:rsid w:val="2BAA1783"/>
    <w:rsid w:val="32A16D29"/>
    <w:rsid w:val="336A7E51"/>
    <w:rsid w:val="35B82442"/>
    <w:rsid w:val="3F1930D2"/>
    <w:rsid w:val="411D1F06"/>
    <w:rsid w:val="454634C4"/>
    <w:rsid w:val="45B14254"/>
    <w:rsid w:val="49D46DD6"/>
    <w:rsid w:val="4DD501E8"/>
    <w:rsid w:val="50E342E8"/>
    <w:rsid w:val="539764B0"/>
    <w:rsid w:val="584116CD"/>
    <w:rsid w:val="58CB2425"/>
    <w:rsid w:val="5BB913AD"/>
    <w:rsid w:val="5CB14110"/>
    <w:rsid w:val="5CF20EE1"/>
    <w:rsid w:val="60015F0E"/>
    <w:rsid w:val="61296711"/>
    <w:rsid w:val="6134101D"/>
    <w:rsid w:val="688F30D8"/>
    <w:rsid w:val="68B02F9A"/>
    <w:rsid w:val="6FE74161"/>
    <w:rsid w:val="71B37764"/>
    <w:rsid w:val="72D867EB"/>
    <w:rsid w:val="77561BFD"/>
    <w:rsid w:val="7B25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 w:type="character" w:customStyle="1" w:styleId="11">
    <w:name w:val="font3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576</Words>
  <Characters>3288</Characters>
  <Lines>27</Lines>
  <Paragraphs>7</Paragraphs>
  <TotalTime>0</TotalTime>
  <ScaleCrop>false</ScaleCrop>
  <LinksUpToDate>false</LinksUpToDate>
  <CharactersWithSpaces>3857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2021-04-25T02:26:00Z</dcterms:created>
  <dc:creator>陳_CHEN</dc:creator>
  <cp:lastModifiedBy>wumengshi</cp:lastModifiedBy>
  <cp:lastPrinted>2021-06-04T01:35:00Z</cp:lastPrinted>
  <dcterms:modified xsi:type="dcterms:W3CDTF">2022-02-24T09:21:43Z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C8FB463CFF6B442183258F4EE1E97A19</vt:lpwstr>
  </property>
</Properties>
</file>